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8078" w14:textId="77777777" w:rsidR="00C351CE" w:rsidRPr="00C351CE" w:rsidRDefault="00C351CE" w:rsidP="00C351CE">
      <w:pPr>
        <w:pStyle w:val="a3"/>
        <w:spacing w:after="0" w:line="360" w:lineRule="auto"/>
        <w:jc w:val="center"/>
        <w:rPr>
          <w:rFonts w:asciiTheme="minorEastAsia" w:eastAsiaTheme="minorEastAsia" w:hAnsiTheme="minorEastAsia" w:cs="Helvetica"/>
          <w:sz w:val="32"/>
          <w:szCs w:val="32"/>
        </w:rPr>
      </w:pPr>
      <w:r w:rsidRPr="00C351CE">
        <w:rPr>
          <w:rFonts w:asciiTheme="minorEastAsia" w:eastAsiaTheme="minorEastAsia" w:hAnsiTheme="minorEastAsia" w:cs="Helvetica" w:hint="eastAsia"/>
          <w:b/>
          <w:spacing w:val="-20"/>
          <w:sz w:val="32"/>
          <w:szCs w:val="32"/>
        </w:rPr>
        <w:t>广东省星河湾慈善基金会投资</w:t>
      </w:r>
      <w:r>
        <w:rPr>
          <w:rFonts w:asciiTheme="minorEastAsia" w:eastAsiaTheme="minorEastAsia" w:hAnsiTheme="minorEastAsia" w:cs="Helvetica" w:hint="eastAsia"/>
          <w:b/>
          <w:spacing w:val="-20"/>
          <w:sz w:val="32"/>
          <w:szCs w:val="32"/>
        </w:rPr>
        <w:t>理财</w:t>
      </w:r>
      <w:r w:rsidRPr="00C351CE">
        <w:rPr>
          <w:rFonts w:asciiTheme="minorEastAsia" w:eastAsiaTheme="minorEastAsia" w:hAnsiTheme="minorEastAsia" w:cs="Helvetica" w:hint="eastAsia"/>
          <w:b/>
          <w:spacing w:val="-20"/>
          <w:sz w:val="32"/>
          <w:szCs w:val="32"/>
        </w:rPr>
        <w:t>管理</w:t>
      </w:r>
      <w:r>
        <w:rPr>
          <w:rFonts w:asciiTheme="minorEastAsia" w:eastAsiaTheme="minorEastAsia" w:hAnsiTheme="minorEastAsia" w:cs="Helvetica" w:hint="eastAsia"/>
          <w:b/>
          <w:spacing w:val="-20"/>
          <w:sz w:val="32"/>
          <w:szCs w:val="32"/>
        </w:rPr>
        <w:t>办法</w:t>
      </w:r>
    </w:p>
    <w:p w14:paraId="2EC26CE3"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为进一步规范广东省星河湾慈善基金会的投资理财行为，建立健全投资决策机制，提高基金会投资效率和风险防范能力，根据国家相关法律法规特制定本实施细则。</w:t>
      </w:r>
    </w:p>
    <w:p w14:paraId="73D80C84"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第一条</w:t>
      </w:r>
      <w:r w:rsidRPr="00310257">
        <w:rPr>
          <w:rFonts w:asciiTheme="minorEastAsia" w:eastAsiaTheme="minorEastAsia" w:hAnsiTheme="minorEastAsia" w:hint="eastAsia"/>
          <w:sz w:val="28"/>
          <w:szCs w:val="28"/>
        </w:rPr>
        <w:t> </w:t>
      </w:r>
      <w:r w:rsidRPr="00310257">
        <w:rPr>
          <w:rFonts w:asciiTheme="minorEastAsia" w:eastAsiaTheme="minorEastAsia" w:hAnsiTheme="minorEastAsia" w:cs="Helvetica" w:hint="eastAsia"/>
          <w:sz w:val="28"/>
          <w:szCs w:val="28"/>
        </w:rPr>
        <w:t xml:space="preserve"> 本实施细则适用于符合《广东省星河湾慈善基金会投资理财管理办法》规定的所有投资活动。</w:t>
      </w:r>
    </w:p>
    <w:p w14:paraId="42650BCE"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第二条</w:t>
      </w:r>
      <w:r w:rsidRPr="00310257">
        <w:rPr>
          <w:rFonts w:asciiTheme="minorEastAsia" w:eastAsiaTheme="minorEastAsia" w:hAnsiTheme="minorEastAsia" w:hint="eastAsia"/>
          <w:sz w:val="28"/>
          <w:szCs w:val="28"/>
        </w:rPr>
        <w:t> </w:t>
      </w:r>
      <w:r w:rsidRPr="00310257">
        <w:rPr>
          <w:rFonts w:asciiTheme="minorEastAsia" w:eastAsiaTheme="minorEastAsia" w:hAnsiTheme="minorEastAsia" w:cs="Helvetica" w:hint="eastAsia"/>
          <w:sz w:val="28"/>
          <w:szCs w:val="28"/>
        </w:rPr>
        <w:t xml:space="preserve"> </w:t>
      </w:r>
      <w:r w:rsidRPr="00310257">
        <w:rPr>
          <w:rFonts w:asciiTheme="minorEastAsia" w:eastAsiaTheme="minorEastAsia" w:hAnsiTheme="minorEastAsia" w:cs="Helvetica" w:hint="eastAsia"/>
          <w:b/>
          <w:sz w:val="28"/>
          <w:szCs w:val="28"/>
        </w:rPr>
        <w:t>投资理财管理的组织架构</w:t>
      </w:r>
    </w:p>
    <w:p w14:paraId="3982AE62"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基金会投资理财管理的组织架构包括理事会、监事、投资咨询委员会、法律顾问、基金会秘书处，行使《广东省星河湾慈善基金会投资理财管理办法》规定的职权。</w:t>
      </w:r>
    </w:p>
    <w:p w14:paraId="6568C98E" w14:textId="193A892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其中，理事会是最高决策机构，拥有最高决定权；投资咨询委员会是智囊团，行使投资相关事项的咨询、建议权；法律顾问负责对基金会投资相关的法律事务提供指导、咨询和服务；基金会理事会监事行使投资行为的监督权。</w:t>
      </w:r>
    </w:p>
    <w:p w14:paraId="00093245" w14:textId="77777777" w:rsidR="00C351CE" w:rsidRPr="00310257" w:rsidRDefault="00C351CE" w:rsidP="00310257">
      <w:pPr>
        <w:pStyle w:val="a3"/>
        <w:spacing w:after="0" w:line="560" w:lineRule="atLeast"/>
        <w:ind w:firstLineChars="200" w:firstLine="562"/>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第三条</w:t>
      </w:r>
      <w:r w:rsidRPr="00310257">
        <w:rPr>
          <w:rFonts w:asciiTheme="minorEastAsia" w:eastAsiaTheme="minorEastAsia" w:hAnsiTheme="minorEastAsia" w:hint="eastAsia"/>
          <w:b/>
          <w:sz w:val="28"/>
          <w:szCs w:val="28"/>
        </w:rPr>
        <w:t> </w:t>
      </w:r>
      <w:r w:rsidRPr="00310257">
        <w:rPr>
          <w:rFonts w:asciiTheme="minorEastAsia" w:eastAsiaTheme="minorEastAsia" w:hAnsiTheme="minorEastAsia" w:cs="Helvetica" w:hint="eastAsia"/>
          <w:b/>
          <w:sz w:val="28"/>
          <w:szCs w:val="28"/>
        </w:rPr>
        <w:t xml:space="preserve"> 年度投资计划的编制</w:t>
      </w:r>
    </w:p>
    <w:p w14:paraId="7BDA20D5"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（一）每年1月，基金会秘书处负责根据上一年度基金会的资产状况、当年的收支预算和市场行情，编制当年的投资计划。投资计划包含投资方向、投资结构等内容。</w:t>
      </w:r>
    </w:p>
    <w:p w14:paraId="7A2A8C2E"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（二）投资理财咨询委员会从专业化角度对基金会年度投资计划提出意见和建议后，由基金会秘书处提交理事会审议。</w:t>
      </w:r>
    </w:p>
    <w:p w14:paraId="4D50B17A"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（三）理事会听取并审议投资咨询委员会的年度投资计划报告。</w:t>
      </w:r>
    </w:p>
    <w:p w14:paraId="2BB57D66"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第四条</w:t>
      </w:r>
      <w:r w:rsidRPr="00310257">
        <w:rPr>
          <w:rFonts w:asciiTheme="minorEastAsia" w:eastAsiaTheme="minorEastAsia" w:hAnsiTheme="minorEastAsia" w:hint="eastAsia"/>
          <w:b/>
          <w:sz w:val="28"/>
          <w:szCs w:val="28"/>
        </w:rPr>
        <w:t> </w:t>
      </w:r>
      <w:r w:rsidRPr="00310257">
        <w:rPr>
          <w:rFonts w:asciiTheme="minorEastAsia" w:eastAsiaTheme="minorEastAsia" w:hAnsiTheme="minorEastAsia" w:cs="Helvetica" w:hint="eastAsia"/>
          <w:b/>
          <w:sz w:val="28"/>
          <w:szCs w:val="28"/>
        </w:rPr>
        <w:t xml:space="preserve"> 投资项目的调研和评估</w:t>
      </w:r>
    </w:p>
    <w:p w14:paraId="6C9870FE"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lastRenderedPageBreak/>
        <w:t>（一）在理事会审议通过的当年投资计划的框架下，基金会秘书处负责开展市场调研、寻找合作伙伴、搜集投资项目信息、洽谈投资意向，并根据合作方的信誉、实力和投资项目的预期风险、收益情况对投资项目进行初步筛选，提交投资咨询委员会。</w:t>
      </w:r>
    </w:p>
    <w:p w14:paraId="2F33B04B"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（二）投资咨询委员会对基金会秘书处提交的拟投资项目进行评估、初步筛选，初选通过的项目进入尽职调查环节。</w:t>
      </w:r>
    </w:p>
    <w:p w14:paraId="6CFEF600"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（三）基金会秘书处负责组建尽职调查小组对初选通过的投资项目开展尽职调查。对于非标准类投资项目可以委托第三</w:t>
      </w:r>
      <w:proofErr w:type="gramStart"/>
      <w:r w:rsidRPr="00310257">
        <w:rPr>
          <w:rFonts w:asciiTheme="minorEastAsia" w:eastAsiaTheme="minorEastAsia" w:hAnsiTheme="minorEastAsia" w:cs="Helvetica" w:hint="eastAsia"/>
          <w:sz w:val="28"/>
          <w:szCs w:val="28"/>
        </w:rPr>
        <w:t>方专业</w:t>
      </w:r>
      <w:proofErr w:type="gramEnd"/>
      <w:r w:rsidRPr="00310257">
        <w:rPr>
          <w:rFonts w:asciiTheme="minorEastAsia" w:eastAsiaTheme="minorEastAsia" w:hAnsiTheme="minorEastAsia" w:cs="Helvetica" w:hint="eastAsia"/>
          <w:sz w:val="28"/>
          <w:szCs w:val="28"/>
        </w:rPr>
        <w:t>机构开展尽职调查，形成尽职调查报告。第三</w:t>
      </w:r>
      <w:proofErr w:type="gramStart"/>
      <w:r w:rsidRPr="00310257">
        <w:rPr>
          <w:rFonts w:asciiTheme="minorEastAsia" w:eastAsiaTheme="minorEastAsia" w:hAnsiTheme="minorEastAsia" w:cs="Helvetica" w:hint="eastAsia"/>
          <w:sz w:val="28"/>
          <w:szCs w:val="28"/>
        </w:rPr>
        <w:t>方专业</w:t>
      </w:r>
      <w:proofErr w:type="gramEnd"/>
      <w:r w:rsidRPr="00310257">
        <w:rPr>
          <w:rFonts w:asciiTheme="minorEastAsia" w:eastAsiaTheme="minorEastAsia" w:hAnsiTheme="minorEastAsia" w:cs="Helvetica" w:hint="eastAsia"/>
          <w:sz w:val="28"/>
          <w:szCs w:val="28"/>
        </w:rPr>
        <w:t>机构与法律顾问不得是同一机构。</w:t>
      </w:r>
    </w:p>
    <w:p w14:paraId="0C304627"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尽职调查报告须包含但不限于以下内容：1.投资项目背景；2.产品要素及交易结构；3.投资项目合作方、交易对手介绍；4.融资项目情况（资管、信托类项目，包括融资项目的基本情况、市场情况、财务分析及评估、综合评价等）；5.投</w:t>
      </w:r>
      <w:proofErr w:type="gramStart"/>
      <w:r w:rsidRPr="00310257">
        <w:rPr>
          <w:rFonts w:asciiTheme="minorEastAsia" w:eastAsiaTheme="minorEastAsia" w:hAnsiTheme="minorEastAsia" w:cs="Helvetica" w:hint="eastAsia"/>
          <w:sz w:val="28"/>
          <w:szCs w:val="28"/>
        </w:rPr>
        <w:t>研</w:t>
      </w:r>
      <w:proofErr w:type="gramEnd"/>
      <w:r w:rsidRPr="00310257">
        <w:rPr>
          <w:rFonts w:asciiTheme="minorEastAsia" w:eastAsiaTheme="minorEastAsia" w:hAnsiTheme="minorEastAsia" w:cs="Helvetica" w:hint="eastAsia"/>
          <w:sz w:val="28"/>
          <w:szCs w:val="28"/>
        </w:rPr>
        <w:t>体系（基金类项目，包括投资或资产配置策略、投资决策机制、风险控制机制、投资范围和投资限制、过往业绩等）；6.风险评估；7.结论及建议</w:t>
      </w:r>
    </w:p>
    <w:p w14:paraId="33000C3A"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（四）投资咨询委员会对尽职调查小组提交的尽职调查报告进行审议。审议通过的项目由投资咨询委员会撰写投资项目可行性报告提交理事会；如审议未通过则该投资项目终止。</w:t>
      </w:r>
    </w:p>
    <w:p w14:paraId="23E1E08B"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（五）年度投资计划内的流动性金融产品和部分固定收益类及保本浮动型产品，包括：现金类（银行活期、定期存款，大额存单等）、风险等级为R2级及以下的银行理财产品和流动性基金产品、</w:t>
      </w:r>
      <w:proofErr w:type="gramStart"/>
      <w:r w:rsidRPr="00310257">
        <w:rPr>
          <w:rFonts w:asciiTheme="minorEastAsia" w:eastAsiaTheme="minorEastAsia" w:hAnsiTheme="minorEastAsia" w:cs="Helvetica" w:hint="eastAsia"/>
          <w:sz w:val="28"/>
          <w:szCs w:val="28"/>
        </w:rPr>
        <w:t>资管产</w:t>
      </w:r>
      <w:r w:rsidRPr="00310257">
        <w:rPr>
          <w:rFonts w:asciiTheme="minorEastAsia" w:eastAsiaTheme="minorEastAsia" w:hAnsiTheme="minorEastAsia" w:cs="Helvetica" w:hint="eastAsia"/>
          <w:sz w:val="28"/>
          <w:szCs w:val="28"/>
        </w:rPr>
        <w:lastRenderedPageBreak/>
        <w:t>品</w:t>
      </w:r>
      <w:proofErr w:type="gramEnd"/>
      <w:r w:rsidRPr="00310257">
        <w:rPr>
          <w:rFonts w:asciiTheme="minorEastAsia" w:eastAsiaTheme="minorEastAsia" w:hAnsiTheme="minorEastAsia" w:cs="Helvetica" w:hint="eastAsia"/>
          <w:sz w:val="28"/>
          <w:szCs w:val="28"/>
        </w:rPr>
        <w:t>或信托产品，可略过尽职调查步骤，由基金会秘书处根据市场行情确定，进入项目执行阶段，并即时向理事会报备。</w:t>
      </w:r>
    </w:p>
    <w:p w14:paraId="2B6FF550" w14:textId="44EF012B"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（六）已到期的非权益类投资项目，在投资项目产品要素、交易结构、合作方及交易对手、风险状况不变，且过往投资未出现违约等异常状况的情况下，可以由基金会</w:t>
      </w:r>
      <w:r w:rsidR="00EE40A0">
        <w:rPr>
          <w:rFonts w:asciiTheme="minorEastAsia" w:eastAsiaTheme="minorEastAsia" w:hAnsiTheme="minorEastAsia" w:cs="Helvetica" w:hint="eastAsia"/>
          <w:sz w:val="28"/>
          <w:szCs w:val="28"/>
        </w:rPr>
        <w:t>理事会</w:t>
      </w:r>
      <w:r w:rsidRPr="00310257">
        <w:rPr>
          <w:rFonts w:asciiTheme="minorEastAsia" w:eastAsiaTheme="minorEastAsia" w:hAnsiTheme="minorEastAsia" w:cs="Helvetica" w:hint="eastAsia"/>
          <w:sz w:val="28"/>
          <w:szCs w:val="28"/>
        </w:rPr>
        <w:t>决定是否续投。</w:t>
      </w:r>
    </w:p>
    <w:p w14:paraId="0122B61D"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（七）投资咨询委员会评估、筛选投资项目，审议投资项目尽职调查报告，均可采取通讯评审的方式。经审议通过的投资项目，由投资咨询委员会起草投资项目可行性报告。</w:t>
      </w:r>
    </w:p>
    <w:p w14:paraId="2BB124EB"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（八）投资项目可行性报告经基金会法律顾问出具法律意见后，提交理事会审议。</w:t>
      </w:r>
    </w:p>
    <w:p w14:paraId="45E20F8F"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第五条</w:t>
      </w:r>
      <w:r w:rsidRPr="00310257">
        <w:rPr>
          <w:rFonts w:asciiTheme="minorEastAsia" w:eastAsiaTheme="minorEastAsia" w:hAnsiTheme="minorEastAsia" w:hint="eastAsia"/>
          <w:b/>
          <w:sz w:val="28"/>
          <w:szCs w:val="28"/>
        </w:rPr>
        <w:t> </w:t>
      </w:r>
      <w:r w:rsidRPr="00310257">
        <w:rPr>
          <w:rFonts w:asciiTheme="minorEastAsia" w:eastAsiaTheme="minorEastAsia" w:hAnsiTheme="minorEastAsia" w:cs="Helvetica" w:hint="eastAsia"/>
          <w:b/>
          <w:sz w:val="28"/>
          <w:szCs w:val="28"/>
        </w:rPr>
        <w:t xml:space="preserve"> 投资项目的审批</w:t>
      </w:r>
    </w:p>
    <w:p w14:paraId="0C7BAB2B"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一）理事会对投资咨询委员会提交的投资项目可行性报告进行审议。投资项目审议亦可采取通讯审议表决的形式。为提高投资决策效率，及时把握市场时机，通讯审议表决须在5个工作日内完成，其中1-3个工作日评审，4-5个工作日回收表决票。</w:t>
      </w:r>
    </w:p>
    <w:p w14:paraId="7F62540E"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（二）审议通过的投资项目形成理事会决议，进入项目执行阶段；</w:t>
      </w:r>
      <w:proofErr w:type="gramStart"/>
      <w:r w:rsidRPr="00310257">
        <w:rPr>
          <w:rFonts w:asciiTheme="minorEastAsia" w:eastAsiaTheme="minorEastAsia" w:hAnsiTheme="minorEastAsia" w:cs="Helvetica" w:hint="eastAsia"/>
          <w:sz w:val="28"/>
          <w:szCs w:val="28"/>
        </w:rPr>
        <w:t>若审议</w:t>
      </w:r>
      <w:proofErr w:type="gramEnd"/>
      <w:r w:rsidRPr="00310257">
        <w:rPr>
          <w:rFonts w:asciiTheme="minorEastAsia" w:eastAsiaTheme="minorEastAsia" w:hAnsiTheme="minorEastAsia" w:cs="Helvetica" w:hint="eastAsia"/>
          <w:sz w:val="28"/>
          <w:szCs w:val="28"/>
        </w:rPr>
        <w:t>未通过则该投资项目终止。</w:t>
      </w:r>
    </w:p>
    <w:p w14:paraId="7A3F8934"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第六条</w:t>
      </w:r>
      <w:r w:rsidRPr="00310257">
        <w:rPr>
          <w:rFonts w:asciiTheme="minorEastAsia" w:eastAsiaTheme="minorEastAsia" w:hAnsiTheme="minorEastAsia" w:hint="eastAsia"/>
          <w:b/>
          <w:sz w:val="28"/>
          <w:szCs w:val="28"/>
        </w:rPr>
        <w:t> </w:t>
      </w:r>
      <w:r w:rsidRPr="00310257">
        <w:rPr>
          <w:rFonts w:asciiTheme="minorEastAsia" w:eastAsiaTheme="minorEastAsia" w:hAnsiTheme="minorEastAsia" w:cs="Helvetica" w:hint="eastAsia"/>
          <w:b/>
          <w:sz w:val="28"/>
          <w:szCs w:val="28"/>
        </w:rPr>
        <w:t xml:space="preserve"> 投资项目的执行</w:t>
      </w:r>
    </w:p>
    <w:p w14:paraId="727F9449"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（一）基金会秘书处根据理事会决议和年度投资计划，与投资交易方商定投资合同、协议，经基金会法律顾问审核通过后，提交理事长或理事长授权代表签字盖章。</w:t>
      </w:r>
    </w:p>
    <w:p w14:paraId="2368B33A" w14:textId="77777777" w:rsidR="00C351CE" w:rsidRPr="00310257" w:rsidRDefault="00C351CE" w:rsidP="00310257">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lastRenderedPageBreak/>
        <w:t>（二）投资合同、协议双方签署完毕后生效，基金会财务根据投资合同、协议和理事长签批的投资支出报告进行投资支出转账操作。</w:t>
      </w:r>
    </w:p>
    <w:p w14:paraId="02B0718B"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第七条 投资活动的监控和反馈</w:t>
      </w:r>
    </w:p>
    <w:p w14:paraId="4600A12F" w14:textId="4BF37F95" w:rsidR="00C351CE" w:rsidRPr="00310257" w:rsidRDefault="00C351CE" w:rsidP="00DF35DF">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（一）基金会理事会</w:t>
      </w:r>
      <w:r w:rsidR="00EE40A0">
        <w:rPr>
          <w:rFonts w:asciiTheme="minorEastAsia" w:eastAsiaTheme="minorEastAsia" w:hAnsiTheme="minorEastAsia" w:cs="Helvetica" w:hint="eastAsia"/>
          <w:sz w:val="28"/>
          <w:szCs w:val="28"/>
        </w:rPr>
        <w:t>及</w:t>
      </w:r>
      <w:r w:rsidRPr="00310257">
        <w:rPr>
          <w:rFonts w:asciiTheme="minorEastAsia" w:eastAsiaTheme="minorEastAsia" w:hAnsiTheme="minorEastAsia" w:cs="Helvetica" w:hint="eastAsia"/>
          <w:sz w:val="28"/>
          <w:szCs w:val="28"/>
        </w:rPr>
        <w:t>监事负责对基金会的投资决策过程和后续管理进行监督，发现问题及时向理事会报告，并提出意见和建议。</w:t>
      </w:r>
    </w:p>
    <w:p w14:paraId="2134710E" w14:textId="78B1F8D1"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（二）基金会</w:t>
      </w:r>
      <w:r w:rsidR="00EE40A0">
        <w:rPr>
          <w:rFonts w:asciiTheme="minorEastAsia" w:eastAsiaTheme="minorEastAsia" w:hAnsiTheme="minorEastAsia" w:cs="Helvetica" w:hint="eastAsia"/>
          <w:sz w:val="28"/>
          <w:szCs w:val="28"/>
        </w:rPr>
        <w:t>秘书长</w:t>
      </w:r>
      <w:r w:rsidRPr="00310257">
        <w:rPr>
          <w:rFonts w:asciiTheme="minorEastAsia" w:eastAsiaTheme="minorEastAsia" w:hAnsiTheme="minorEastAsia" w:cs="Helvetica" w:hint="eastAsia"/>
          <w:sz w:val="28"/>
          <w:szCs w:val="28"/>
        </w:rPr>
        <w:t>负责对投资项目相关信息进行跟踪监控，发现问题及时向理事会报告。</w:t>
      </w:r>
    </w:p>
    <w:p w14:paraId="73E1DC8E" w14:textId="64FEDFCD"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（三）基金会秘书</w:t>
      </w:r>
      <w:r w:rsidR="00F549D8">
        <w:rPr>
          <w:rFonts w:asciiTheme="minorEastAsia" w:eastAsiaTheme="minorEastAsia" w:hAnsiTheme="minorEastAsia" w:cs="Helvetica" w:hint="eastAsia"/>
          <w:sz w:val="28"/>
          <w:szCs w:val="28"/>
        </w:rPr>
        <w:t>长</w:t>
      </w:r>
      <w:r w:rsidRPr="00310257">
        <w:rPr>
          <w:rFonts w:asciiTheme="minorEastAsia" w:eastAsiaTheme="minorEastAsia" w:hAnsiTheme="minorEastAsia" w:cs="Helvetica" w:hint="eastAsia"/>
          <w:sz w:val="28"/>
          <w:szCs w:val="28"/>
        </w:rPr>
        <w:t>负责定期向捐赠人主动推送投资项目信息，及时报告投资损益及风险状况。</w:t>
      </w:r>
    </w:p>
    <w:p w14:paraId="3AD735D0"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（四）理事会任何成员有询问投资工作进展的权利，秘书长每年应向理事会全面汇报投资管理情况。</w:t>
      </w:r>
    </w:p>
    <w:p w14:paraId="6D383AB6" w14:textId="11224A86" w:rsidR="00C351CE" w:rsidRPr="00310257" w:rsidRDefault="00C351CE" w:rsidP="00310257">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（五）基金办秘书</w:t>
      </w:r>
      <w:r w:rsidR="00F549D8">
        <w:rPr>
          <w:rFonts w:asciiTheme="minorEastAsia" w:eastAsiaTheme="minorEastAsia" w:hAnsiTheme="minorEastAsia" w:cs="Helvetica" w:hint="eastAsia"/>
          <w:sz w:val="28"/>
          <w:szCs w:val="28"/>
        </w:rPr>
        <w:t>长</w:t>
      </w:r>
      <w:r w:rsidRPr="00310257">
        <w:rPr>
          <w:rFonts w:asciiTheme="minorEastAsia" w:eastAsiaTheme="minorEastAsia" w:hAnsiTheme="minorEastAsia" w:cs="Helvetica" w:hint="eastAsia"/>
          <w:sz w:val="28"/>
          <w:szCs w:val="28"/>
        </w:rPr>
        <w:t>负责为每个投资项目建立专项档案，完整保存投资论证、审批、管理和回收等过程的资料。</w:t>
      </w:r>
    </w:p>
    <w:p w14:paraId="21314344" w14:textId="77777777" w:rsidR="00C351CE" w:rsidRPr="00310257" w:rsidRDefault="00C351CE" w:rsidP="00DF35DF">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第八条 投资活动的风险控制</w:t>
      </w:r>
    </w:p>
    <w:p w14:paraId="79EE57F3"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hint="eastAsia"/>
          <w:sz w:val="28"/>
          <w:szCs w:val="28"/>
        </w:rPr>
        <w:t> </w:t>
      </w:r>
      <w:r w:rsidRPr="00310257">
        <w:rPr>
          <w:rFonts w:asciiTheme="minorEastAsia" w:eastAsiaTheme="minorEastAsia" w:hAnsiTheme="minorEastAsia" w:cs="Helvetica" w:hint="eastAsia"/>
          <w:sz w:val="28"/>
          <w:szCs w:val="28"/>
        </w:rPr>
        <w:t xml:space="preserve"> 基金会的投资运作以稳健为基本原则，在最大限度确保资金安全的前提下，取得相应的投资回报，具体措施如下：</w:t>
      </w:r>
    </w:p>
    <w:p w14:paraId="47B0F3B9"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一）建立白名单制度，包括合作金融机构白名单、投资行业或产业白名单。白名单由投资咨询委员会负责根据合作金融机构的信用状况、投资能力以及金融市场行情制定并及时更新、完善。基金会选择合作金融机构和投资领域必须在白名单范围内。</w:t>
      </w:r>
    </w:p>
    <w:p w14:paraId="6A82D027"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lastRenderedPageBreak/>
        <w:t>（二）根据基金会资金的流动性需求，采用分散投资策略。选择多种金融产品，分散系统风险；选择多家公司合作，分散公司的信用风险。</w:t>
      </w:r>
    </w:p>
    <w:p w14:paraId="3778611A" w14:textId="77777777" w:rsidR="00C351CE" w:rsidRPr="00310257" w:rsidRDefault="00C351CE" w:rsidP="00DF35DF">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（三）严格监控风险类资产的投资状况，根据基金会风险承受能力设定止损点。损失达到止损点时，及时调整投资策略。</w:t>
      </w:r>
    </w:p>
    <w:p w14:paraId="203202BB"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sz w:val="28"/>
          <w:szCs w:val="28"/>
        </w:rPr>
        <w:t>（四）加快审批流程，严格按照决策时限进行决策，提高投资决策效率，提高投资资金划拨周转速度，以免贻误投资时机。</w:t>
      </w:r>
    </w:p>
    <w:p w14:paraId="399F8312" w14:textId="77777777" w:rsidR="00C351CE" w:rsidRPr="00310257" w:rsidRDefault="00C351CE" w:rsidP="00C351CE">
      <w:pPr>
        <w:pStyle w:val="a3"/>
        <w:spacing w:after="0" w:line="560" w:lineRule="atLeast"/>
        <w:ind w:firstLine="600"/>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第九条</w:t>
      </w:r>
      <w:r w:rsidRPr="00310257">
        <w:rPr>
          <w:rFonts w:asciiTheme="minorEastAsia" w:eastAsiaTheme="minorEastAsia" w:hAnsiTheme="minorEastAsia" w:hint="eastAsia"/>
          <w:sz w:val="28"/>
          <w:szCs w:val="28"/>
        </w:rPr>
        <w:t> </w:t>
      </w:r>
      <w:r w:rsidRPr="00310257">
        <w:rPr>
          <w:rFonts w:asciiTheme="minorEastAsia" w:eastAsiaTheme="minorEastAsia" w:hAnsiTheme="minorEastAsia" w:cs="Helvetica" w:hint="eastAsia"/>
          <w:sz w:val="28"/>
          <w:szCs w:val="28"/>
        </w:rPr>
        <w:t xml:space="preserve"> 本细则由</w:t>
      </w:r>
      <w:r w:rsidR="00DF35DF" w:rsidRPr="00310257">
        <w:rPr>
          <w:rFonts w:asciiTheme="minorEastAsia" w:eastAsiaTheme="minorEastAsia" w:hAnsiTheme="minorEastAsia" w:cs="Helvetica" w:hint="eastAsia"/>
          <w:sz w:val="28"/>
          <w:szCs w:val="28"/>
        </w:rPr>
        <w:t>广东省星河湾慈善基金会</w:t>
      </w:r>
      <w:r w:rsidRPr="00310257">
        <w:rPr>
          <w:rFonts w:asciiTheme="minorEastAsia" w:eastAsiaTheme="minorEastAsia" w:hAnsiTheme="minorEastAsia" w:cs="Helvetica" w:hint="eastAsia"/>
          <w:sz w:val="28"/>
          <w:szCs w:val="28"/>
        </w:rPr>
        <w:t>负责解释和修订。</w:t>
      </w:r>
    </w:p>
    <w:p w14:paraId="377419CA" w14:textId="77777777" w:rsidR="00C351CE" w:rsidRPr="00310257" w:rsidRDefault="00C351CE" w:rsidP="00C351CE">
      <w:pPr>
        <w:pStyle w:val="a3"/>
        <w:spacing w:after="0" w:line="560" w:lineRule="atLeast"/>
        <w:ind w:firstLine="602"/>
        <w:rPr>
          <w:rFonts w:asciiTheme="minorEastAsia" w:eastAsiaTheme="minorEastAsia" w:hAnsiTheme="minorEastAsia" w:cs="Helvetica"/>
          <w:sz w:val="28"/>
          <w:szCs w:val="28"/>
        </w:rPr>
      </w:pPr>
      <w:r w:rsidRPr="00310257">
        <w:rPr>
          <w:rFonts w:asciiTheme="minorEastAsia" w:eastAsiaTheme="minorEastAsia" w:hAnsiTheme="minorEastAsia" w:cs="Helvetica" w:hint="eastAsia"/>
          <w:b/>
          <w:sz w:val="28"/>
          <w:szCs w:val="28"/>
        </w:rPr>
        <w:t>第十条</w:t>
      </w:r>
      <w:r w:rsidRPr="00310257">
        <w:rPr>
          <w:rFonts w:asciiTheme="minorEastAsia" w:eastAsiaTheme="minorEastAsia" w:hAnsiTheme="minorEastAsia" w:hint="eastAsia"/>
          <w:sz w:val="28"/>
          <w:szCs w:val="28"/>
        </w:rPr>
        <w:t> </w:t>
      </w:r>
      <w:r w:rsidRPr="00310257">
        <w:rPr>
          <w:rFonts w:asciiTheme="minorEastAsia" w:eastAsiaTheme="minorEastAsia" w:hAnsiTheme="minorEastAsia" w:cs="Helvetica" w:hint="eastAsia"/>
          <w:sz w:val="28"/>
          <w:szCs w:val="28"/>
        </w:rPr>
        <w:t xml:space="preserve"> 本细则自基金会理事会通过之日起实施。</w:t>
      </w:r>
    </w:p>
    <w:p w14:paraId="7C0E2276" w14:textId="77777777" w:rsidR="002D0BEE" w:rsidRPr="00C351CE" w:rsidRDefault="002D0BEE">
      <w:pPr>
        <w:rPr>
          <w:rFonts w:asciiTheme="minorEastAsia" w:hAnsiTheme="minorEastAsia"/>
          <w:sz w:val="24"/>
          <w:szCs w:val="24"/>
        </w:rPr>
      </w:pPr>
    </w:p>
    <w:sectPr w:rsidR="002D0BEE" w:rsidRPr="00C35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CE"/>
    <w:rsid w:val="002D0BEE"/>
    <w:rsid w:val="00310257"/>
    <w:rsid w:val="00C351CE"/>
    <w:rsid w:val="00DF35DF"/>
    <w:rsid w:val="00EE40A0"/>
    <w:rsid w:val="00F5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9A9E"/>
  <w15:docId w15:val="{F8FA1AAE-BE55-4CBF-8009-F16E77A5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1CE"/>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05939">
      <w:bodyDiv w:val="1"/>
      <w:marLeft w:val="0"/>
      <w:marRight w:val="0"/>
      <w:marTop w:val="0"/>
      <w:marBottom w:val="0"/>
      <w:divBdr>
        <w:top w:val="none" w:sz="0" w:space="0" w:color="auto"/>
        <w:left w:val="none" w:sz="0" w:space="0" w:color="auto"/>
        <w:bottom w:val="none" w:sz="0" w:space="0" w:color="auto"/>
        <w:right w:val="none" w:sz="0" w:space="0" w:color="auto"/>
      </w:divBdr>
      <w:divsChild>
        <w:div w:id="257176874">
          <w:marLeft w:val="0"/>
          <w:marRight w:val="0"/>
          <w:marTop w:val="0"/>
          <w:marBottom w:val="0"/>
          <w:divBdr>
            <w:top w:val="none" w:sz="0" w:space="0" w:color="auto"/>
            <w:left w:val="none" w:sz="0" w:space="0" w:color="auto"/>
            <w:bottom w:val="none" w:sz="0" w:space="0" w:color="auto"/>
            <w:right w:val="none" w:sz="0" w:space="0" w:color="auto"/>
          </w:divBdr>
          <w:divsChild>
            <w:div w:id="1050880410">
              <w:marLeft w:val="0"/>
              <w:marRight w:val="0"/>
              <w:marTop w:val="0"/>
              <w:marBottom w:val="0"/>
              <w:divBdr>
                <w:top w:val="none" w:sz="0" w:space="0" w:color="auto"/>
                <w:left w:val="none" w:sz="0" w:space="0" w:color="auto"/>
                <w:bottom w:val="none" w:sz="0" w:space="0" w:color="auto"/>
                <w:right w:val="none" w:sz="0" w:space="0" w:color="auto"/>
              </w:divBdr>
              <w:divsChild>
                <w:div w:id="274021915">
                  <w:marLeft w:val="0"/>
                  <w:marRight w:val="0"/>
                  <w:marTop w:val="0"/>
                  <w:marBottom w:val="0"/>
                  <w:divBdr>
                    <w:top w:val="none" w:sz="0" w:space="0" w:color="auto"/>
                    <w:left w:val="none" w:sz="0" w:space="0" w:color="auto"/>
                    <w:bottom w:val="none" w:sz="0" w:space="0" w:color="auto"/>
                    <w:right w:val="none" w:sz="0" w:space="0" w:color="auto"/>
                  </w:divBdr>
                  <w:divsChild>
                    <w:div w:id="598872709">
                      <w:marLeft w:val="-225"/>
                      <w:marRight w:val="-225"/>
                      <w:marTop w:val="0"/>
                      <w:marBottom w:val="0"/>
                      <w:divBdr>
                        <w:top w:val="none" w:sz="0" w:space="0" w:color="auto"/>
                        <w:left w:val="none" w:sz="0" w:space="0" w:color="auto"/>
                        <w:bottom w:val="none" w:sz="0" w:space="0" w:color="auto"/>
                        <w:right w:val="none" w:sz="0" w:space="0" w:color="auto"/>
                      </w:divBdr>
                      <w:divsChild>
                        <w:div w:id="845628742">
                          <w:marLeft w:val="0"/>
                          <w:marRight w:val="0"/>
                          <w:marTop w:val="0"/>
                          <w:marBottom w:val="0"/>
                          <w:divBdr>
                            <w:top w:val="none" w:sz="0" w:space="0" w:color="auto"/>
                            <w:left w:val="none" w:sz="0" w:space="0" w:color="auto"/>
                            <w:bottom w:val="none" w:sz="0" w:space="0" w:color="auto"/>
                            <w:right w:val="none" w:sz="0" w:space="0" w:color="auto"/>
                          </w:divBdr>
                          <w:divsChild>
                            <w:div w:id="142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6988">
      <w:bodyDiv w:val="1"/>
      <w:marLeft w:val="0"/>
      <w:marRight w:val="0"/>
      <w:marTop w:val="0"/>
      <w:marBottom w:val="0"/>
      <w:divBdr>
        <w:top w:val="none" w:sz="0" w:space="0" w:color="auto"/>
        <w:left w:val="none" w:sz="0" w:space="0" w:color="auto"/>
        <w:bottom w:val="none" w:sz="0" w:space="0" w:color="auto"/>
        <w:right w:val="none" w:sz="0" w:space="0" w:color="auto"/>
      </w:divBdr>
      <w:divsChild>
        <w:div w:id="1551762630">
          <w:marLeft w:val="0"/>
          <w:marRight w:val="0"/>
          <w:marTop w:val="0"/>
          <w:marBottom w:val="0"/>
          <w:divBdr>
            <w:top w:val="none" w:sz="0" w:space="0" w:color="auto"/>
            <w:left w:val="none" w:sz="0" w:space="0" w:color="auto"/>
            <w:bottom w:val="none" w:sz="0" w:space="0" w:color="auto"/>
            <w:right w:val="none" w:sz="0" w:space="0" w:color="auto"/>
          </w:divBdr>
          <w:divsChild>
            <w:div w:id="721099603">
              <w:marLeft w:val="0"/>
              <w:marRight w:val="0"/>
              <w:marTop w:val="0"/>
              <w:marBottom w:val="0"/>
              <w:divBdr>
                <w:top w:val="none" w:sz="0" w:space="0" w:color="auto"/>
                <w:left w:val="none" w:sz="0" w:space="0" w:color="auto"/>
                <w:bottom w:val="none" w:sz="0" w:space="0" w:color="auto"/>
                <w:right w:val="none" w:sz="0" w:space="0" w:color="auto"/>
              </w:divBdr>
              <w:divsChild>
                <w:div w:id="1930769506">
                  <w:marLeft w:val="0"/>
                  <w:marRight w:val="0"/>
                  <w:marTop w:val="0"/>
                  <w:marBottom w:val="0"/>
                  <w:divBdr>
                    <w:top w:val="none" w:sz="0" w:space="0" w:color="auto"/>
                    <w:left w:val="none" w:sz="0" w:space="0" w:color="auto"/>
                    <w:bottom w:val="none" w:sz="0" w:space="0" w:color="auto"/>
                    <w:right w:val="none" w:sz="0" w:space="0" w:color="auto"/>
                  </w:divBdr>
                  <w:divsChild>
                    <w:div w:id="1518810272">
                      <w:marLeft w:val="-225"/>
                      <w:marRight w:val="-225"/>
                      <w:marTop w:val="0"/>
                      <w:marBottom w:val="0"/>
                      <w:divBdr>
                        <w:top w:val="none" w:sz="0" w:space="0" w:color="auto"/>
                        <w:left w:val="none" w:sz="0" w:space="0" w:color="auto"/>
                        <w:bottom w:val="none" w:sz="0" w:space="0" w:color="auto"/>
                        <w:right w:val="none" w:sz="0" w:space="0" w:color="auto"/>
                      </w:divBdr>
                      <w:divsChild>
                        <w:div w:id="2004701282">
                          <w:marLeft w:val="0"/>
                          <w:marRight w:val="0"/>
                          <w:marTop w:val="0"/>
                          <w:marBottom w:val="0"/>
                          <w:divBdr>
                            <w:top w:val="none" w:sz="0" w:space="0" w:color="auto"/>
                            <w:left w:val="none" w:sz="0" w:space="0" w:color="auto"/>
                            <w:bottom w:val="none" w:sz="0" w:space="0" w:color="auto"/>
                            <w:right w:val="none" w:sz="0" w:space="0" w:color="auto"/>
                          </w:divBdr>
                          <w:divsChild>
                            <w:div w:id="11186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91870">
      <w:bodyDiv w:val="1"/>
      <w:marLeft w:val="0"/>
      <w:marRight w:val="0"/>
      <w:marTop w:val="0"/>
      <w:marBottom w:val="0"/>
      <w:divBdr>
        <w:top w:val="none" w:sz="0" w:space="0" w:color="auto"/>
        <w:left w:val="none" w:sz="0" w:space="0" w:color="auto"/>
        <w:bottom w:val="none" w:sz="0" w:space="0" w:color="auto"/>
        <w:right w:val="none" w:sz="0" w:space="0" w:color="auto"/>
      </w:divBdr>
      <w:divsChild>
        <w:div w:id="442849132">
          <w:marLeft w:val="0"/>
          <w:marRight w:val="0"/>
          <w:marTop w:val="0"/>
          <w:marBottom w:val="0"/>
          <w:divBdr>
            <w:top w:val="none" w:sz="0" w:space="0" w:color="auto"/>
            <w:left w:val="none" w:sz="0" w:space="0" w:color="auto"/>
            <w:bottom w:val="none" w:sz="0" w:space="0" w:color="auto"/>
            <w:right w:val="none" w:sz="0" w:space="0" w:color="auto"/>
          </w:divBdr>
          <w:divsChild>
            <w:div w:id="660424336">
              <w:marLeft w:val="0"/>
              <w:marRight w:val="0"/>
              <w:marTop w:val="0"/>
              <w:marBottom w:val="0"/>
              <w:divBdr>
                <w:top w:val="none" w:sz="0" w:space="0" w:color="auto"/>
                <w:left w:val="none" w:sz="0" w:space="0" w:color="auto"/>
                <w:bottom w:val="none" w:sz="0" w:space="0" w:color="auto"/>
                <w:right w:val="none" w:sz="0" w:space="0" w:color="auto"/>
              </w:divBdr>
              <w:divsChild>
                <w:div w:id="362902400">
                  <w:marLeft w:val="0"/>
                  <w:marRight w:val="0"/>
                  <w:marTop w:val="0"/>
                  <w:marBottom w:val="0"/>
                  <w:divBdr>
                    <w:top w:val="none" w:sz="0" w:space="0" w:color="auto"/>
                    <w:left w:val="none" w:sz="0" w:space="0" w:color="auto"/>
                    <w:bottom w:val="none" w:sz="0" w:space="0" w:color="auto"/>
                    <w:right w:val="none" w:sz="0" w:space="0" w:color="auto"/>
                  </w:divBdr>
                  <w:divsChild>
                    <w:div w:id="1874032485">
                      <w:marLeft w:val="-225"/>
                      <w:marRight w:val="-225"/>
                      <w:marTop w:val="0"/>
                      <w:marBottom w:val="0"/>
                      <w:divBdr>
                        <w:top w:val="none" w:sz="0" w:space="0" w:color="auto"/>
                        <w:left w:val="none" w:sz="0" w:space="0" w:color="auto"/>
                        <w:bottom w:val="none" w:sz="0" w:space="0" w:color="auto"/>
                        <w:right w:val="none" w:sz="0" w:space="0" w:color="auto"/>
                      </w:divBdr>
                      <w:divsChild>
                        <w:div w:id="1663922884">
                          <w:marLeft w:val="0"/>
                          <w:marRight w:val="0"/>
                          <w:marTop w:val="0"/>
                          <w:marBottom w:val="0"/>
                          <w:divBdr>
                            <w:top w:val="none" w:sz="0" w:space="0" w:color="auto"/>
                            <w:left w:val="none" w:sz="0" w:space="0" w:color="auto"/>
                            <w:bottom w:val="none" w:sz="0" w:space="0" w:color="auto"/>
                            <w:right w:val="none" w:sz="0" w:space="0" w:color="auto"/>
                          </w:divBdr>
                          <w:divsChild>
                            <w:div w:id="19708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林丽娜</dc:creator>
  <cp:lastModifiedBy>维炜 赵</cp:lastModifiedBy>
  <cp:revision>2</cp:revision>
  <dcterms:created xsi:type="dcterms:W3CDTF">2020-12-08T16:30:00Z</dcterms:created>
  <dcterms:modified xsi:type="dcterms:W3CDTF">2020-12-08T16:30:00Z</dcterms:modified>
</cp:coreProperties>
</file>